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1B" w:rsidRDefault="00305D02">
      <w:pPr>
        <w:pStyle w:val="afc"/>
        <w:keepLines/>
        <w:spacing w:after="0"/>
        <w:ind w:left="5529"/>
        <w:jc w:val="both"/>
        <w:rPr>
          <w:sz w:val="24"/>
          <w:szCs w:val="24"/>
          <w:lang w:val="uk-UA"/>
        </w:rPr>
      </w:pPr>
      <w:bookmarkStart w:id="0" w:name="_GoBack"/>
      <w:bookmarkEnd w:id="0"/>
      <w:r>
        <w:rPr>
          <w:sz w:val="24"/>
          <w:szCs w:val="24"/>
          <w:lang w:val="uk-UA"/>
        </w:rPr>
        <w:t>Додаток 1</w:t>
      </w:r>
    </w:p>
    <w:p w:rsidR="00FC631B" w:rsidRDefault="00305D02">
      <w:pPr>
        <w:pStyle w:val="afc"/>
        <w:keepLines/>
        <w:spacing w:after="0"/>
        <w:ind w:left="552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42 сесії міської ради</w:t>
      </w:r>
    </w:p>
    <w:p w:rsidR="00FC631B" w:rsidRDefault="00305D02">
      <w:pPr>
        <w:pStyle w:val="afc"/>
        <w:keepLines/>
        <w:spacing w:after="0"/>
        <w:ind w:left="552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VIII</w:t>
      </w:r>
      <w:r>
        <w:rPr>
          <w:sz w:val="24"/>
          <w:szCs w:val="24"/>
          <w:lang w:val="uk-UA"/>
        </w:rPr>
        <w:t xml:space="preserve"> скликання</w:t>
      </w:r>
    </w:p>
    <w:p w:rsidR="00FC631B" w:rsidRDefault="00305D02">
      <w:pPr>
        <w:pStyle w:val="afc"/>
        <w:keepLines/>
        <w:spacing w:after="0"/>
        <w:ind w:left="552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15.12.2023 № 5/42/</w:t>
      </w:r>
      <w:r>
        <w:rPr>
          <w:sz w:val="24"/>
          <w:szCs w:val="24"/>
          <w:lang w:val="en-US"/>
        </w:rPr>
        <w:t>VIII</w:t>
      </w:r>
    </w:p>
    <w:p w:rsidR="00FC631B" w:rsidRDefault="00305D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</w:p>
    <w:p w:rsidR="00FC631B" w:rsidRDefault="00305D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адміністративних послуг, які надаються через </w:t>
      </w:r>
    </w:p>
    <w:p w:rsidR="00FC631B" w:rsidRDefault="00305D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відділ з питань організації надання адміністративних послуг</w:t>
      </w:r>
    </w:p>
    <w:p w:rsidR="00FC631B" w:rsidRDefault="00305D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ЦНАП Носівської мі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ської ради </w:t>
      </w:r>
    </w:p>
    <w:p w:rsidR="00FC631B" w:rsidRDefault="00FC63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62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1038"/>
        <w:gridCol w:w="1677"/>
        <w:gridCol w:w="3089"/>
        <w:gridCol w:w="2943"/>
      </w:tblGrid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послуги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Ідентифікатор послуг відповідно до Гіду з державних послуг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адміністративної послуги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Законодавчі акти України, якими передбачено надання адміністративної послуги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FC631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Реєстрація/зняття з реєстрації мешканців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00040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Реєстрація місця перебування особи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свободу пересування та вільний вибір місця проживання в Україні»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надання публічних (електронних публічних) послуг щодо декларування та реєстрації місця проживання в Україні  від 01.1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2.2021 №1871-ІХ; </w:t>
            </w:r>
          </w:p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Постанова КМУ від 07.02.2022 №265 «Деякі питання декларування і реєстрації місця проживання та ведення реєстрів територіальної громади» </w:t>
            </w:r>
          </w:p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00034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Реєстрація місця проживання особи</w:t>
            </w: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00037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Зняття з реєстрації місця проживання особи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00038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Видача довідки про реєстрацію місця проживання особи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01898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Видача довідки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зняття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місця проживання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01306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паспорта громадянина України відомостей про зміну нумерації будинків, перейменування вулиць (проспектів, бульварів, площ, провулків, кварталів тощо ), населених пунктів, адміністративно-територіальних одиниць, зміни в адміністративно-територіальному устрої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Паспортні послуги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***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00026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Вклеювання до паспорта громадянина України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зразка 1994 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фотокартки при досягненні громадянином 25- або 45-річного віку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Положення про паспорт громадянина України, затверджене постановою Верховної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ади України від 26 червня 1992 року № 2503-ХІІ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00028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Оформлення і видача паспорта громадянина України для виїзду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кордон з безконтактним електронним носієм замість втраченого або викраденого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Постанова КМУ від 25.03.2015 №302 «Про затвердження зр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азка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бланка, технічного опису та Порядку оформлення, видачі, обміну, пересилання, вилучення, повернення державі, визнання недійсним та знищення паспорта громадянина України» 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00027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і видача паспорта громадянина України для виїзду за кордон з безконтактним електронним носієм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КМУ від 07.05.2014 №152 «Про затвердження зразка бланка, технічного опису та Порядку оформлення, видачі, обміну, пересилання, вилучення, пове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рнення державі, визнання недійсним та знищення паспорта громадянина України для виїзду за кордон» 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Реєстрація нерухомості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2A2928"/>
                <w:lang w:val="uk-UA"/>
              </w:rPr>
              <w:t>00041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tj2"/>
              <w:jc w:val="center"/>
              <w:rPr>
                <w:color w:val="2A2928"/>
              </w:rPr>
            </w:pPr>
            <w:r>
              <w:rPr>
                <w:color w:val="2A2928"/>
              </w:rPr>
              <w:t>Державна</w:t>
            </w:r>
            <w:r>
              <w:rPr>
                <w:color w:val="2A2928"/>
                <w:lang w:val="uk-UA"/>
              </w:rPr>
              <w:t xml:space="preserve"> </w:t>
            </w:r>
            <w:r>
              <w:rPr>
                <w:color w:val="2A2928"/>
              </w:rPr>
              <w:t>реєстрація</w:t>
            </w:r>
            <w:r>
              <w:rPr>
                <w:color w:val="2A2928"/>
                <w:lang w:val="uk-UA"/>
              </w:rPr>
              <w:t xml:space="preserve">  </w:t>
            </w:r>
            <w:r>
              <w:rPr>
                <w:color w:val="2A2928"/>
              </w:rPr>
              <w:t>права власності на нерухоме майно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державну реєстрацію речових прав на нерухоме майно та їх обтяжень»</w:t>
            </w:r>
          </w:p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rvps14"/>
              <w:spacing w:before="150" w:after="150" w:line="15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00042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rvps14"/>
              <w:spacing w:before="150" w:after="150" w:line="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Державна реєстрація інш</w:t>
            </w:r>
            <w:r>
              <w:rPr>
                <w:color w:val="000000"/>
                <w:lang w:val="uk-UA"/>
              </w:rPr>
              <w:t>ого</w:t>
            </w:r>
            <w:r>
              <w:rPr>
                <w:color w:val="000000"/>
              </w:rPr>
              <w:t xml:space="preserve"> (відмінн</w:t>
            </w:r>
            <w:r>
              <w:rPr>
                <w:color w:val="000000"/>
                <w:lang w:val="uk-UA"/>
              </w:rPr>
              <w:t>ого</w:t>
            </w:r>
            <w:r>
              <w:rPr>
                <w:color w:val="000000"/>
              </w:rPr>
              <w:t xml:space="preserve"> від права власності) речов</w:t>
            </w:r>
            <w:r>
              <w:rPr>
                <w:color w:val="000000"/>
                <w:lang w:val="uk-UA"/>
              </w:rPr>
              <w:t>ого</w:t>
            </w:r>
            <w:r>
              <w:rPr>
                <w:color w:val="000000"/>
              </w:rPr>
              <w:t xml:space="preserve"> прав</w:t>
            </w:r>
            <w:r>
              <w:rPr>
                <w:color w:val="000000"/>
                <w:lang w:val="uk-UA"/>
              </w:rPr>
              <w:t>а</w:t>
            </w:r>
            <w:r>
              <w:rPr>
                <w:color w:val="000000"/>
              </w:rPr>
              <w:t xml:space="preserve"> на нерухоме майно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00048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tj2"/>
              <w:jc w:val="center"/>
              <w:rPr>
                <w:color w:val="2A2928"/>
              </w:rPr>
            </w:pPr>
            <w:r>
              <w:rPr>
                <w:color w:val="000000"/>
                <w:shd w:val="clear" w:color="auto" w:fill="FFFFFF"/>
              </w:rPr>
              <w:t>Державна реєстрація обтяжень нерухомого майна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00049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Взяття на облік безхазяйного нерухомого майна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00046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Внесення змін до записів Державного реєстру речових прав на нерухоме майно та їх обтяжень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03-06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tj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00043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tj2"/>
              <w:jc w:val="center"/>
              <w:rPr>
                <w:color w:val="2A2928"/>
              </w:rPr>
            </w:pPr>
            <w:r>
              <w:rPr>
                <w:color w:val="000000"/>
              </w:rPr>
              <w:t>Скасування державної реєстрації речових прав на нерухоме майно та їх обтяжень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03-07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00043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Скасування запису Державного реєстру речових прав на нерухоме майно</w:t>
            </w:r>
            <w:r>
              <w:rPr>
                <w:color w:val="000000"/>
                <w:shd w:val="clear" w:color="auto" w:fill="FFFFFF"/>
                <w:lang w:val="uk-UA"/>
              </w:rPr>
              <w:t>, скасування державної реєстрації речових прав на нерухоме майно та їх обтяжень, скасування р</w:t>
            </w:r>
            <w:r>
              <w:rPr>
                <w:color w:val="000000"/>
                <w:shd w:val="clear" w:color="auto" w:fill="FFFFFF"/>
                <w:lang w:val="uk-UA"/>
              </w:rPr>
              <w:t>ішення державного реєстратора  (за рішенням суду)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03-08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tj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00043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</w:rPr>
              <w:t>Скасування рішення державного реєстратора</w:t>
            </w:r>
          </w:p>
        </w:tc>
        <w:tc>
          <w:tcPr>
            <w:tcW w:w="2943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</w:tcPr>
          <w:p w:rsidR="00FC631B" w:rsidRDefault="00305D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Рішення суду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03-09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00047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294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03-10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01174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Заборона вчинення реєстраційних дій</w:t>
            </w:r>
          </w:p>
        </w:tc>
        <w:tc>
          <w:tcPr>
            <w:tcW w:w="29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Реєстрація бізнесу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00050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 xml:space="preserve">Державна реєстрація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створення </w:t>
            </w:r>
            <w:r>
              <w:rPr>
                <w:color w:val="000000"/>
                <w:shd w:val="clear" w:color="auto" w:fill="FFFFFF"/>
              </w:rPr>
              <w:t>юридичної особи (</w:t>
            </w:r>
            <w:r>
              <w:rPr>
                <w:color w:val="000000"/>
                <w:shd w:val="clear" w:color="auto" w:fill="FFFFFF"/>
                <w:lang w:val="uk-UA"/>
              </w:rPr>
              <w:t>крім</w:t>
            </w:r>
            <w:r>
              <w:rPr>
                <w:color w:val="000000"/>
                <w:shd w:val="clear" w:color="auto" w:fill="FFFFFF"/>
              </w:rPr>
              <w:t xml:space="preserve"> громадського формування)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00054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Держ</w:t>
            </w:r>
            <w:r>
              <w:rPr>
                <w:color w:val="000000"/>
                <w:shd w:val="clear" w:color="auto" w:fill="FFFFFF"/>
                <w:lang w:val="uk-UA"/>
              </w:rPr>
              <w:t>авна реєстрація змін до відомостей про юридичну особу,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 юридичної особи (крім громадського формування)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00057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Державна реєстрація переходу юридичної особи на діяльність на підставі модельного статуту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(крім громадського формування)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00056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Державна реєстрація переходу юридичної особи з модельного статуту на діяльність на п</w:t>
            </w:r>
            <w:r>
              <w:rPr>
                <w:color w:val="000000"/>
                <w:shd w:val="clear" w:color="auto" w:fill="FFFFFF"/>
              </w:rPr>
              <w:t>ідставі установчого документа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(крім громадського формування)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00109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Державна реєстрація включення відомостей про юридичну особу-підприємця, зареєстровану до 1 липня 2004 р., відомості про яку не містяться в Єдиному державному реєстрі </w:t>
            </w:r>
            <w:r>
              <w:rPr>
                <w:color w:val="000000"/>
                <w:shd w:val="clear" w:color="auto" w:fill="FFFFFF"/>
                <w:lang w:val="uk-UA"/>
              </w:rPr>
              <w:t>юридичних осіб, фізичних осіб - підприємців та громадських формувань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00058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Державна реєстрація рішення про виділ юридичної особи (крім громадського формування)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00073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Державна ре</w:t>
            </w:r>
            <w:r>
              <w:rPr>
                <w:color w:val="000000"/>
                <w:shd w:val="clear" w:color="auto" w:fill="FFFFFF"/>
              </w:rPr>
              <w:t xml:space="preserve">єстрація </w:t>
            </w:r>
            <w:r>
              <w:rPr>
                <w:color w:val="000000"/>
                <w:shd w:val="clear" w:color="auto" w:fill="FFFFFF"/>
              </w:rPr>
              <w:lastRenderedPageBreak/>
              <w:t>рішення про припинення юридичної особи (</w:t>
            </w:r>
            <w:r>
              <w:rPr>
                <w:color w:val="000000"/>
                <w:shd w:val="clear" w:color="auto" w:fill="FFFFFF"/>
                <w:lang w:val="uk-UA"/>
              </w:rPr>
              <w:t>крім</w:t>
            </w:r>
            <w:r>
              <w:rPr>
                <w:color w:val="000000"/>
                <w:shd w:val="clear" w:color="auto" w:fill="FFFFFF"/>
              </w:rPr>
              <w:t xml:space="preserve"> громадського формування)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00083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Державна реєстрація рішення про відміну рішення про припинення юридичної особи (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крім </w:t>
            </w:r>
            <w:r>
              <w:rPr>
                <w:color w:val="000000"/>
                <w:shd w:val="clear" w:color="auto" w:fill="FFFFFF"/>
              </w:rPr>
              <w:t>громадського формування)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00094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Державна реєстрація зміни складу комісії з припинення (комісії з реорганізації, ліквідаційної комісії) юридичної особи(крім громадського формування)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00097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Державна реєстрація припинення юридичної особи в результаті її ліквідації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(кр</w:t>
            </w:r>
            <w:r>
              <w:rPr>
                <w:color w:val="000000"/>
                <w:shd w:val="clear" w:color="auto" w:fill="FFFFFF"/>
                <w:lang w:val="uk-UA"/>
              </w:rPr>
              <w:t>ім громадського формування)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00100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Державна реєстрація припинення юридичної особи в результаті її реорганізації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(крім громадського формування)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00087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Державна реєстрація створення відокремленого підрозділу юридичної особи (</w:t>
            </w:r>
            <w:r>
              <w:rPr>
                <w:color w:val="000000"/>
                <w:shd w:val="clear" w:color="auto" w:fill="FFFFFF"/>
                <w:lang w:val="uk-UA"/>
              </w:rPr>
              <w:t>крім</w:t>
            </w:r>
            <w:r>
              <w:rPr>
                <w:color w:val="000000"/>
                <w:shd w:val="clear" w:color="auto" w:fill="FFFFFF"/>
              </w:rPr>
              <w:t xml:space="preserve"> громадського формування)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C631B">
        <w:trPr>
          <w:trHeight w:val="15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00090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Державна реєстрація внесення змін до відомостей про відокремлений підрозділ юридичної особи (крім громадського формування)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00092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 xml:space="preserve">Державна реєстрація припинення відокремленого підрозділу юридичної особи 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00106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Державна реєстрація фізичної особи - підприємця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00109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Державна реєстрація включення відомостей про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фізичну особу - підприємця, зареєстровану до 1 липня 2004 р., відомості про яку не містяться в Єдиному державному реєстрі юридичних осіб, фізичних осіб - підприємців та </w:t>
            </w:r>
            <w:r>
              <w:rPr>
                <w:color w:val="000000"/>
                <w:shd w:val="clear" w:color="auto" w:fill="FFFFFF"/>
                <w:lang w:val="uk-UA"/>
              </w:rPr>
              <w:lastRenderedPageBreak/>
              <w:t>громадських формувань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00108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Державна реєстрація змін до відомостей про фізичну особу - підприємця, які містяться в Єдиному державному реєстрі юридичних осіб та фізичних осіб - підприємців 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rvps14"/>
              <w:spacing w:before="150" w:after="150" w:line="15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00107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rvps14"/>
              <w:spacing w:before="150" w:after="150" w:line="15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Державна реєстрація припинення підприємницької діяльності фізичної особи – підприємця за її рішенням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00234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Видача витягу з Єдиного державного реєстру юридичних осіб та фізичних осіб-підприємців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00235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Видача Виписки з Єдиного державного реєстру юридичних осіб та фізичних осіб-підприємців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00683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Підтвердження відомостей про кінцевого бенефіціарного власника юридичної особи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01179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Виправлення помилок, допущених у відомостях Єдиного державного реєстру юридичних, фізичних осіб-підприємців та громадських формувань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00051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Державна реєстрація створення громадського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єднання </w:t>
            </w:r>
          </w:p>
        </w:tc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00053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Державна реєстрація включення відомостей про громадське об’єднання, зареєстроване до 01 липня 2004 року, відомості про яке не міститься в Єдиному державному реєстрі юридичних осіб, фізичних осіб-підприємців та громадських формувань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00055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Державна реєстрація змін до відомостей про громадське об’єднання, що містяться в Єдиному державному реєстрі юридичних осіб, фізичних осіб-підприємців та громадських формувань,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тому числі змін до установчих документів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00335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Державна реєстрація комісії з припинення (комісії з реорганізації, ліквідації комісії) громадського об’єднання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00098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Державна реєстрація припинення громадського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єднання в результаті його ліквідації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00102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Державна реєстрація припинення громадського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єднання в результаті його реорганізації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0086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Державна реєстрація рішення про виділ громадського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єднання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00077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Державна реєстрація рішення про припинення громадського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єднання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04-31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00084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Державна реєстрація рішення про відміну рішення про припинення громадського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єднання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04-32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00089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Державна реєстрація створення відокремленого підрозділу громадського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єднання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04-33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00091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Державна реєстрація внесення змін до відомостей про відокремлений підрозділ громадського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єднання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04-34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00093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Державна реєстрація припинення відокремленого підрозділу громадського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єднання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Земельні питання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05-01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00178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 рішення про надання дозволу щодо поділу/об’єднанню земельної ділянки комунальної власності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00209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 рішення щодо затвердження документів із землеустрою щодо поділу/об’єднанню земельної ділянки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00202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Надання дозволу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технічної документації із землеустрою щодо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встановлення меж земельної ділянки в натурі (на місцевості)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Земельний кодекс України, Закон України “Про землеустрій”</w:t>
            </w:r>
          </w:p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05-04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00176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дозволу на розроб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проекту землеустрою щодо відведення земельної ділянки</w:t>
            </w:r>
          </w:p>
        </w:tc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України, Закон України “Про землеустрій</w:t>
            </w:r>
          </w:p>
        </w:tc>
      </w:tr>
      <w:tr w:rsidR="00FC631B">
        <w:trPr>
          <w:trHeight w:val="5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05-05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00204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Внесення змін до діючого договору оренди земельної ділянки</w:t>
            </w:r>
          </w:p>
        </w:tc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00192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Припинення договору оренди земельної ділянки</w:t>
            </w:r>
          </w:p>
        </w:tc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України «Про оренду землі»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00189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Поновлення договору оренди земельної ділянки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00208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дозволу на проведення експ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ертної грошової оцінки земельної ділянки та продаж земельної ділянки несільськогосподарського призначення (на якій розташовано об’єкт нерухомого майна, що є власністю покупця цієї ділянки), межі якої визначено в натурі та без зміни її цільового призначення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</w:t>
            </w:r>
          </w:p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України «Про оцінку земель»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00175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Припинення права користування земельною ділянкою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01161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у власність земельної ділянки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Земельний кодекс України </w:t>
            </w:r>
          </w:p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Закони України «Про землеустрій»</w:t>
            </w:r>
          </w:p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України «Про державний земельний кадастр»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00203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ередач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оренду земельн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ділян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ок, що перебувають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комунальн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власності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України, Закон України «Про оренду землі», Закон України «Про державний земельний кадастр»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01161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земельної ділянки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постійне користування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України, Закон України «Про державний земельний кадастр»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05-13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02146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Надання дозволу на розробку проекту землеустрою щодо відведення земельної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ділянки зі зміною цільового призначення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Земельний кодекс України, Закон України «Про місцеве самоврядування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Україні», Закон України «Про землеустрій»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67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00217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Затвердження проекту землеустрою щодо відведення земельної ділянки (зі зміною цільового призначення)</w:t>
            </w:r>
          </w:p>
        </w:tc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України, Закон України «Про місцеве самоврядування в Україні», Закон України «Про землеустрій»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05-15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00175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Припинення права власності на земельну ділянку у разі добровільної відмови власника землі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України, Закон України «Про місцеве самоврядування в Україні»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05-16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00175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Відмова від земельної ділянки, яка знаходиться у користуванні у разі добровільної відмови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власника землі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України, Закон України «Про місцеве самоврядування в Україні»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00064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Видача довідки про наявність та розмір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(використання)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00068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Видача витягу з технічної документації про нормативну грошову оцінку земельної ділянки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00066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Видача довідки з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ержавної статистичної звітності про наявність земель та розподіл їх за власниками земель, землекористувачами, угіддями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землеустрій»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00080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Виправлення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631B" w:rsidRDefault="00FC6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631B" w:rsidRDefault="00FC6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631B" w:rsidRDefault="00FC6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631B" w:rsidRDefault="0030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Державний земельний кадастр»</w:t>
            </w:r>
          </w:p>
          <w:p w:rsidR="00FC631B" w:rsidRDefault="00FC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75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00071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Внесення до Державного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кадастру відомостей (змін до них) про земельну ділянку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76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00072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00079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видачею витягу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00069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Державна реєстрація земельної ділянки з видачею витягу з Державного земельного кадастру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00078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Державна реєстрація обмежень у використанні земель з видачею витягу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Державний земельний кадастр»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rvps14"/>
              <w:spacing w:before="150" w:after="150" w:line="15" w:lineRule="atLeast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    00059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rvps14"/>
              <w:numPr>
                <w:ilvl w:val="0"/>
                <w:numId w:val="3"/>
              </w:numPr>
              <w:spacing w:before="150" w:after="150" w:line="15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>Внесення до Державного земельного кадастру відомостей (змін до них) про землі в межах території адміністративно-територіальних одиниць з видачею витягу;</w:t>
            </w:r>
          </w:p>
          <w:p w:rsidR="00FC631B" w:rsidRDefault="00305D02">
            <w:pPr>
              <w:pStyle w:val="rvps14"/>
              <w:spacing w:before="150" w:after="150" w:line="15" w:lineRule="atLeast"/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uk-UA"/>
              </w:rPr>
              <w:t xml:space="preserve">2) Надання відомостей з Державного земельного кадастру у формі витягу з Державного земельного кадастру </w:t>
            </w:r>
            <w:r>
              <w:rPr>
                <w:color w:val="000000" w:themeColor="text1"/>
                <w:lang w:val="uk-UA"/>
              </w:rPr>
              <w:t>про обмеження у використанні земель</w:t>
            </w:r>
            <w:r>
              <w:rPr>
                <w:color w:val="000000" w:themeColor="text1"/>
              </w:rPr>
              <w:t>;</w:t>
            </w:r>
          </w:p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Надання відомостей з Державного земельного кадастру у формі довідок, що містять узагальнену інформацію про землі (території)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05-28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rvps14"/>
              <w:spacing w:before="150" w:after="150" w:line="15" w:lineRule="atLeast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     00244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rvps14"/>
              <w:spacing w:before="150" w:after="150" w:line="15" w:lineRule="atLeast"/>
              <w:ind w:left="720"/>
              <w:jc w:val="center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Отримання довідки про наявність у </w:t>
            </w:r>
            <w:r>
              <w:rPr>
                <w:color w:val="000000" w:themeColor="text1"/>
                <w:lang w:val="uk-UA"/>
              </w:rPr>
              <w:lastRenderedPageBreak/>
              <w:t>фізичної особи земельних ділянок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Земельний кодекс України Закон України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землеустрій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82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05-29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rvps14"/>
              <w:spacing w:before="150" w:after="150" w:line="15" w:lineRule="atLeast"/>
              <w:ind w:left="72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rvps14"/>
              <w:spacing w:before="150" w:after="150" w:line="15" w:lineRule="atLeast"/>
              <w:ind w:left="720"/>
              <w:jc w:val="center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>Продаж земельних ділянок комунальної власності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Земельний кодекс України(ст. ст. 125, 127, 128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Закон України “Про місцеве самоврядування в Україні” Закон України “Про дозвільну систему у сфері господарської діяльності” Закон України “Про внесення змін до деяких законодавчих актів україни щодо розмежування земель державної та комунальної власності”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05-30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rvps14"/>
              <w:spacing w:before="150" w:after="150" w:line="15" w:lineRule="atLeast"/>
              <w:ind w:left="72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rvps14"/>
              <w:spacing w:before="150" w:after="150" w:line="15" w:lineRule="atLeast"/>
              <w:ind w:left="720"/>
              <w:jc w:val="center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>Продаж права оренди земельної ділянки шляхом укладання договору оренди земельної ділянки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Земельний кодекс України (ст. ст. 12, 124, 127, 134, 137) Закон України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землі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(ст. 33) Закон України “Про внесення змін до деяких законодавчих актів україни щодо розмежування земель державної та комунальної власності”</w:t>
            </w:r>
          </w:p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Про місцеве самоврядування ст. 25, 26, 59 Закон України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дозвільну систему у сфері господарської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05-31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rvps14"/>
              <w:spacing w:before="150" w:after="150" w:line="15" w:lineRule="atLeast"/>
              <w:ind w:left="720"/>
              <w:jc w:val="center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>02455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rvps14"/>
              <w:spacing w:before="150" w:after="150" w:line="15" w:lineRule="atLeast"/>
              <w:ind w:left="720"/>
              <w:jc w:val="center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>Надання відомостей з державного земельного кадастру у формі витягів з державного земельного кадастру про земельну ділянку з відомостями про речові права на земельну ділянку, їх обтяження, одержаними в порядку інформаційної взаєм</w:t>
            </w:r>
            <w:r>
              <w:rPr>
                <w:color w:val="000000" w:themeColor="text1"/>
                <w:lang w:val="uk-UA"/>
              </w:rPr>
              <w:t>одії з державного реєстру речових прав на нерухоме майно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Державний земельний кадастр»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C631B" w:rsidRDefault="0030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України, Закон України «Про землеустрій»</w:t>
            </w:r>
          </w:p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05-32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rvps14"/>
              <w:spacing w:before="150" w:after="150" w:line="15" w:lineRule="atLeast"/>
              <w:ind w:left="720"/>
              <w:jc w:val="center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>02456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rvps14"/>
              <w:spacing w:before="150" w:after="150" w:line="15" w:lineRule="atLeast"/>
              <w:ind w:left="720"/>
              <w:jc w:val="center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>Надан</w:t>
            </w:r>
            <w:r>
              <w:rPr>
                <w:color w:val="000000" w:themeColor="text1"/>
                <w:lang w:val="uk-UA"/>
              </w:rPr>
              <w:t>ня відомостей з державного земельного кадастру у формі витягів з державного земельного кадастру про земельну ділянку з усіма відомостями, внесеними до поземельної книги, крім відомостей про речові права на земельну ділянку, що виникли після 01 січня 2013р.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Державний земельний кадастр»</w:t>
            </w:r>
          </w:p>
          <w:p w:rsidR="00FC631B" w:rsidRDefault="0030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України, Закон України «Про землеустрій»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FC631B">
            <w:pPr>
              <w:pStyle w:val="12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Питання місцевого значення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00153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Присвоєння поштової адреси об’єкту нерухомого майна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регулювання містобудівної діяльності»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00245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Прийняття рішення про переведення житлового будинку або житлового приміщення у нежитлові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навпаки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 України «Про дозвільну  систему  у  сфері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господарської діяльності», Закон України «Про перелік </w:t>
            </w:r>
          </w:p>
          <w:p w:rsidR="00FC631B" w:rsidRDefault="00305D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документів дозвільного характеру у сфері господарської </w:t>
            </w:r>
          </w:p>
          <w:p w:rsidR="00FC631B" w:rsidRDefault="00305D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діяльності»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00183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Видача (продовження дії) дозволу на розміщення реклами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Закону України «Про рекламу», Закон України «Про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регулювання містобудівної діяльності», Закон України «Про дозвільну систему у сфері господарської діяльності», Закон України «Про перелік документів дозвільного характеру у сфері господарської діяльності»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00156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Видача будівельного паспорту (внесе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ння змін до будівельного паспорту)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забудови земельної ділянки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регулювання містобудівної діяльності», Закон України «Про дозвільну систему у сфері господарської діяльності», Закон України «Про перелік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 дозвільного характеру у сфері господарської діяльності»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00158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(внесення змін) містобудівних умов і обмежень забудови земельної ділянки</w:t>
            </w: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91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00188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Встановлення (погодження) режиму роботи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ідприємств, установи та організацій сфери обслуговування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місцеве самоврядування в Україні»</w:t>
            </w:r>
          </w:p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00190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Оформлення паспорта прив’язки тимчасової споруди для здійснення підприємницької діяльності.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регулювання містобудівної діяльності», Закон України «Про дозвільну систему у сфері господарської діяльності», Закон України «Про перелік документів дозвільного характеру у сфері господарської діяльності»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00194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Надання дозволу на порушення об’єктів благоустрою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дозвільну систему у сфері господарської діяльності», Закон України «Про благоустрій населених пунктів»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01135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Надання одноразової матеріальної допомоги  на лікування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 місцеве самоврядування в Україні", Бюджетний кодекс України, ЗУ "Про державну соціальну допомогу малозабезпеченим сім"ям"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 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01434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Надання одноразової матеріальної допомоги  постраждалим від пожежі або стихійного лиха.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02159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Надання одноразової матеріальної допомоги учасникам ВВВ , учасникам АТО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(ООС)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"Про місцеве самоврядування в Україні", Бюджетний кодекс України, ЗУ "Про державну соціальну допомогу малозабезпеченим сім"ям"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00133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Надання одноразової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грошової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допомоги  незахищеним верстам населення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00251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Надання матеріальної допомоги на поховання деяких категорій громадян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Видача довідки про склад сім’ї (про склад зареєстрованих у житловому приміщенні осіб)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державну соціальну допомогу малозабезпеченим сім'ям»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00134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Реєстрація повідомлення про початок виконання підготовчих робіт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регулювання містобудівної діяльності»</w:t>
            </w:r>
          </w:p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місцеве самоврядування в Україні»</w:t>
            </w:r>
          </w:p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00145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Внесення змін до повідомлення про початок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виконання підготовчих робіт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02475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Припинення права на початок виконання підготовчих робіт, набутого на підставі повідомлення, за заявою замовника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01189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Внесення змін до декларації про початок виконання підготовчих робіт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01208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Реєстрація повідомлення про початок виконання будівельних робіт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FC631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FC631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00146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Внесення змін до повідомлення про початок виконання будівельних робіт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06-21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00138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Реєстрація декларації про готовність об’єкта до експлуатації (відповідно до пункту 9 розділу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“Прикінцеві положення” Закону України “Про регулювання містобудівної діяльності”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06-22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01376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 декларації про готовність об’єкта до експлуатації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02423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Внесення змін до декларації про готовність об’єкта до експлуатації (відповідно до пункту 9 розділу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“Прикінцеві положення Закону України “Про регулювання містобудівної діяльності”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06-24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00140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Внесення змін до декларації про готовність об’єкта до експлуатації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06-25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01902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Внесення змін до декларації про початок виконання будівельних 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06-26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01188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Припинення права на початок виконання будівельних робіт,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набутого на підставі повідомлення, за заявою замовника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FC631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01300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довідки про проведення поховання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Про місцеве самоврядування в Україні від 21.05.1997 № 280/97-ВР</w:t>
            </w:r>
          </w:p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Про пенсійне забезпечення осіб, звільнених з військової служби, та деяких інших осіб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FC631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FC631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01841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довідки про реєстрацію та проживання особи станом на 15.04.1991 року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Про адміністративні послуги від 06.09.2012 № 5203-УІ</w:t>
            </w:r>
          </w:p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Про місцеве самоврядування в Україні від 21.05.1997 № 280/97-ВР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FC631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FC631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02045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довідки про реєстрацію та спільне проживання матері й дитини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Про адміністративні послуги від 06.09.2012 № 5203-УІ</w:t>
            </w:r>
          </w:p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Про місцеве самоврядування в Україні від 21.05.1997 № 280/97-ВР</w:t>
            </w:r>
          </w:p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Сімейний кодекс України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FC631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FC631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01928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довідки про спільне проживання, ведення спільного господарства та проведення поховання для одержання недоотриманої пенсії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Про адміністративні послуги від 06.09.2012 № 5203-УІ</w:t>
            </w:r>
          </w:p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Про місцеве самоврядування в Україні від 21.05.1997 № 280/97-ВР</w:t>
            </w:r>
          </w:p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Про звернення громадян від 02.10.1996 року №393/96-ВР</w:t>
            </w:r>
          </w:p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Про загальнообов’язкове держа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 пенсійне страхування  від 03.07.2003р. № 1058-ГУ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FC631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FC631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01844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довідки про фактичне місце проживання особи на території міської ради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Про адміністративні послуги від 06.09.2012 № 5203-УІ</w:t>
            </w:r>
          </w:p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Про місцеве самоврядування в Україні від 21.05.1997 № 280/97-ВР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FC631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FC631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Оформлення заяви на отримання компенсації витрат, що пов’язані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безоплатним розміщенням внутрішньо переміщених осіб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631B">
        <w:trPr>
          <w:trHeight w:val="2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FC631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Нотаріальні послуги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07-01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A29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Видача довідки про склад сім’ї (про склад зареєстрованих у житловому приміщенні осіб)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державну соціальну допомогу малозабезпеченим сім'ям»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07-02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01239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Посвідчення заповіту (крім секретного)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нотаріат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07-03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01247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Скасування заповіту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нотаріат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07-04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01251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дублікату документа посвідченого органом місцевого самоврядування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нотаріат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07-05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01248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Засвідчення вірності копії (фотокопії) документа і виписки з нього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нотаріат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07-06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01249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Засвідчення справжності підпису на документах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нотаріат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07-07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01250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Посвідч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 довіреностей прирівняних до нотаріального посвідчення, крім довіреностей на право розпорядження нерухомим майном, довіреностей на управління і розпорядження корпоративними правами та довіреностей на користування та розпорядження транспортними засобами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нотаріат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FC631B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Послуги соціального характеру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надаються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представниками 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СЗН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Ніжинської (Носівської) РДА)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08-01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00141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Видача довідки для отримання пільг інвалідам, які не мають права на пенсію чи соціальну допомогу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основи соціальної захищеності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 з інвалідністю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Україні»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08-02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00142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Наданна допомоги в зв’язку з вагітністю і пологами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 України «Про державну допомогу сім’ям з дітьми»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08-03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00147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державної допомоги при усиновленні дитини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08-04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00149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державної допомоги на дітей, над якими встановлено опіку чи піклування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08-05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00151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державної соціальної допомоги інвалідам з дитинства та дітям інвалідам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державну соціальну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особам з інвалідністю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дитинства та дітям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інвалідністю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08-06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00152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надбавки на догляд особам з інвалідністю з дитинства та дітям з інвалідністю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98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08-07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00096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державної соціальної допомоги особам, які не мають права на пенсію та особам з інвалідністю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державну соціальну допомогу особам, які не мають права на пенсію, та особам з інвалідністю»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08-08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01995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Виплата компенсації фізичній особі, яка надає соціальні послуги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від 29.04.2004 № 558 “Про затвердження Порядку призначення і виплати компенсації фізичним особам, які надають соціальні послуги” 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08-09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01579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щомісячної компенсаційної виплати по догляду за інвалідом І групи або престарілим, який досяг 80-річного віку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Кабінету Міністрів України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20.03.2019 №233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деякі питання державної допомоги окремим категоріям громадян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08-10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0103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 щомісячної грошової допомоги особі, яка проживає разом з особою з інвалідом І чи ІІ групи внаслідок психічного розладу, який за висновком лікарської комісії медичного закладу потребує постійного стороннього догляду, на догляд за ним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від 02.08.2000 № 1192 "Про надання щомісячної грошової допомоги малозабезпеченій особі, яка проживає разом з інвалідом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групи внаслідок психічного розладу, який за висновком лікарської комісії медичного закладу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отребує постійного стороннього догляду, на догляд за ним"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08-11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00228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путівками для оздоровлення та відпочинку дітей пільгових категорій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 України «Про оздоровлення та відпочинок дітей»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08-13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00241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Встановлення статусу та видача посвідчень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Особи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інвалідністю внаслідок війни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України «Про статус ветеранів війни,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гарантії їх соціального захисту» 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08-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00239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становлення статусу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видача посвідчень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часник війни»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статус ветеранів війни, гарантії їх соціального захисту»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08-15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00237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становлення статусу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видача посвідчень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сім’ї померлого (загиблого) ветерана війни”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статус ветеранів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ійни, гарантії їх соціального захисту» 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08-16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00223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грошової компенсації вартості самостійного санаторно-курортного лікування особам з інвалідністю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основи соціальної захищеності осіб з інвалідністю внаслідок війни в Україні»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08-17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00228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путівками на санаторно-курортне лікування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статус ветеранів війни, гарантії їх соціального захисту»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08-18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00172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одноразової компенсації сім’ям, які втратили годувальника із числа осіб, віднесених до учасників ліквідації 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статус ветеранів війни, гара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нтії їх соціального захисту»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08-19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>02499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31B" w:rsidRDefault="00305D02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/>
              </w:rPr>
              <w:t>Позбавлення статусу особи з інвалідністю внаслідок війни, члена сім’ї загиблого (померлого) Захисника чи Захисниці України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>-"-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08-20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>01735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>Прийняття р</w:t>
            </w:r>
            <w:r>
              <w:rPr>
                <w:sz w:val="24"/>
                <w:szCs w:val="24"/>
              </w:rPr>
              <w:t>ішення про проведення безоплатного капітального ремонту власних житлових будинків і квартир осіб, що мають право на таку пільгу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31B" w:rsidRDefault="00305D02">
            <w:pPr>
              <w:pStyle w:val="af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України “Про статус ветеранів війни, гарантії їх соціального захисту”;</w:t>
            </w:r>
          </w:p>
          <w:p w:rsidR="00FC631B" w:rsidRDefault="00305D02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>Закон України “Про жертви нацистських переслідувань</w:t>
            </w:r>
            <w:r>
              <w:rPr>
                <w:sz w:val="24"/>
                <w:szCs w:val="24"/>
              </w:rPr>
              <w:t>”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aff0"/>
              <w:jc w:val="left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08-21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aff0"/>
              <w:ind w:firstLine="140"/>
              <w:jc w:val="left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>02216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/>
              </w:rPr>
              <w:t>Безоплатне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війни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31B" w:rsidRDefault="00305D02">
            <w:pPr>
              <w:pStyle w:val="af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України “Про поховання та похоронну справу”; Закон України “Про статус ветеранів війни, гарантії їх соціального захисту”;</w:t>
            </w:r>
          </w:p>
          <w:p w:rsidR="00FC631B" w:rsidRDefault="00305D02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 xml:space="preserve">Закон України “Про основні засади соціального захисту ветеранів праці та інших </w:t>
            </w:r>
            <w:r>
              <w:rPr>
                <w:sz w:val="24"/>
                <w:szCs w:val="24"/>
              </w:rPr>
              <w:lastRenderedPageBreak/>
              <w:t>громадян похилого віку в Україні”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aff0"/>
              <w:jc w:val="left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08-22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aff0"/>
              <w:ind w:firstLine="140"/>
              <w:jc w:val="left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>02500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31B" w:rsidRDefault="00305D02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>Безоплатне спорудження надгробку на могилі померлої (загиблої) особи, яка має особливі заслуги та особливі трудові заслуги перед Батьківщиною за встановленим зразком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>-"-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aff0"/>
              <w:jc w:val="left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08-23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aff0"/>
              <w:ind w:firstLine="140"/>
              <w:jc w:val="left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>02501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>Отримання громадськими об’єднаннями ветеранів війни безплатно п</w:t>
            </w:r>
            <w:r>
              <w:rPr>
                <w:sz w:val="24"/>
                <w:szCs w:val="24"/>
              </w:rPr>
              <w:t>риміщень для здійснення статутних завдань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31B" w:rsidRDefault="00305D02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>Закону України “Про статус ветеранів війни, гарантії їх соціального захисту”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aff0"/>
              <w:jc w:val="left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08-24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aff0"/>
              <w:ind w:firstLine="140"/>
              <w:jc w:val="left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>01588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>Встановлення статусу постраждалого учасника Революції Гідності, видача посвідчення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31B" w:rsidRDefault="00305D02">
            <w:pPr>
              <w:pStyle w:val="af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України “Про статус ветеранів в</w:t>
            </w:r>
            <w:r>
              <w:rPr>
                <w:sz w:val="24"/>
                <w:szCs w:val="24"/>
              </w:rPr>
              <w:t>ійни, гарантії їх соціального захисту” Постанова Кабінету Міністрів України від 12.05.1994 № 302 “Про порядок видачі посвідчень і нагрудних знаків ветеранів війни”;</w:t>
            </w:r>
          </w:p>
          <w:p w:rsidR="00FC631B" w:rsidRDefault="00305D02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>Постанова Кабінету Міністр</w:t>
            </w:r>
            <w:r>
              <w:rPr>
                <w:sz w:val="24"/>
                <w:szCs w:val="24"/>
              </w:rPr>
              <w:t>ів України від 28.02.2018 № 119 “Деякі питання соціального захисту постраждалих учасників Революції Гідності”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aff0"/>
              <w:jc w:val="left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08-25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aff0"/>
              <w:ind w:firstLine="140"/>
              <w:jc w:val="left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>01198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31B" w:rsidRDefault="00305D02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/>
              </w:rPr>
              <w:t xml:space="preserve">Вклеювання бланка-вкладки до посвідчення учасника бойових дій, особи з інвалідністю внаслідок війни </w:t>
            </w:r>
            <w:r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uk-UA"/>
              </w:rPr>
              <w:t xml:space="preserve"> і </w:t>
            </w:r>
            <w:r>
              <w:rPr>
                <w:sz w:val="24"/>
                <w:szCs w:val="24"/>
              </w:rPr>
              <w:t>III</w:t>
            </w:r>
            <w:r>
              <w:rPr>
                <w:sz w:val="24"/>
                <w:szCs w:val="24"/>
                <w:lang w:val="uk-UA"/>
              </w:rPr>
              <w:t xml:space="preserve"> групи з числа учасників бойових дій у період Другої світової війни, яким виповнилося 85 років і більше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>Закону України “Про статус ветеранів війни, гарантії їх соціального захисту”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aff0"/>
              <w:jc w:val="left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08-26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>02347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>Призначення виплати щорічної разової грошової допомоги вет</w:t>
            </w:r>
            <w:r>
              <w:rPr>
                <w:sz w:val="24"/>
                <w:szCs w:val="24"/>
              </w:rPr>
              <w:t>еранам війни і жертвам нацистських переслідувань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31B" w:rsidRDefault="00305D02">
            <w:pPr>
              <w:pStyle w:val="af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України “Про статус ветеранів війни, гарантії їх соціального захисту”;</w:t>
            </w:r>
          </w:p>
          <w:p w:rsidR="00FC631B" w:rsidRDefault="00305D02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>Закон України “Про жертви нацистських переслідувань”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aff0"/>
              <w:jc w:val="left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08-27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pStyle w:val="aff0"/>
              <w:ind w:firstLine="140"/>
              <w:jc w:val="left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>00241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31B" w:rsidRDefault="00305D02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/>
              </w:rPr>
              <w:t xml:space="preserve">Встановлення статусу особи з інвалідністю внаслідок війни, видача посвідчення/довідки, продовження строку дії посвідчення (вклеювання </w:t>
            </w:r>
            <w:r>
              <w:rPr>
                <w:sz w:val="24"/>
                <w:szCs w:val="24"/>
                <w:lang w:val="uk-UA"/>
              </w:rPr>
              <w:lastRenderedPageBreak/>
              <w:t>бланка-вкладки)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31B" w:rsidRDefault="00305D02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lastRenderedPageBreak/>
              <w:t>Закон України “Про статус ветеранів війни, гарантії їх соціального захисту”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31B" w:rsidRDefault="00305D02">
            <w:pPr>
              <w:pStyle w:val="aff0"/>
              <w:jc w:val="left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08-28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31B" w:rsidRDefault="00305D02">
            <w:pPr>
              <w:pStyle w:val="aff0"/>
              <w:ind w:firstLine="140"/>
              <w:jc w:val="left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>00237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31B" w:rsidRDefault="00305D02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/>
              </w:rPr>
              <w:t>Встановлення</w:t>
            </w:r>
            <w:r>
              <w:rPr>
                <w:sz w:val="24"/>
                <w:szCs w:val="24"/>
                <w:lang w:val="uk-UA"/>
              </w:rPr>
              <w:t xml:space="preserve"> статусу члена сім’ї загиблого (померлого) ветерана війни та члена сім’ї загиблого (померлого) Захисника чи Захисниці України, видача посвідчення/довідки, продовження строку дії посвідчення (вклеювання бланка-вкладки) Федерації у Донецькій та Луганській об</w:t>
            </w:r>
            <w:r>
              <w:rPr>
                <w:sz w:val="24"/>
                <w:szCs w:val="24"/>
                <w:lang w:val="uk-UA"/>
              </w:rPr>
              <w:t>ластях, здійснення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та/або іншої країни проти України, бойових дій та збройного конфлікту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31B" w:rsidRDefault="00305D02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>-" -</w:t>
            </w:r>
          </w:p>
        </w:tc>
      </w:tr>
      <w:tr w:rsidR="00FC63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FC631B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Послуги Пенсійного фонду*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02324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Приймання заяв та необхідних документів для призначення пенсії</w:t>
            </w:r>
          </w:p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пенсійне забезпечення», Закон України «Про загальнообов’язкове державне пенсійне страхування»</w:t>
            </w: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00253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Приймання заяв щодо зміни способу виплати пенсії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загальнообов’язкове державне пенсійне страхування»</w:t>
            </w: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00248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Приймання заяв та необхідних документів для виготовлення пенсійного посвідчення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загальнообов’язкове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державне пенсійне страхування»</w:t>
            </w: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00249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Приймання замовлень на видачу довідок про розмір пенсії, про перебування на обліку та інших документів</w:t>
            </w:r>
          </w:p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пенсійне забезпечення»,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України «Про загальнообов’язкове державне пенсійне страхування»</w:t>
            </w: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00247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Приймання заяв та необхідних документів для перерахунку пенсії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пенсійне забезпечення», Закон України «Про загальнообов’язкове державне пенсійне страхування»</w:t>
            </w: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Приймання заяв та необхідних документів для виплати недоотриманої пенсії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пенсійне забезпечення», Закон України «Про загальнообов’язкове державне пенсійне страхування»</w:t>
            </w: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00252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Приймання заяв та необхідних документів для переведення виплати пенсії за новим місцем проживання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загальнообов’язкове державне пенсійне страхування»</w:t>
            </w: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00253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Приймання заяв щодо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способу виплати пенсії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заг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альнообов’язкове державне пенсійне страхування»</w:t>
            </w: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FC631B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Послуги соціального характеру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155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10-01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Державна допомога сім’ям з дітьми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Закон України «Про державну допомогу сім'ям з дітьми»</w:t>
            </w: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00143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у зв'язку з вагітністю та пологами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при народженні дитини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при усиновленні дитини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на дітей, над якими встановлено опіку чи піклування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на дітей одиноким матерям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особі, яка доглядає за хворою дитиною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00133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Державна соціальна допомога малозабезпеченим сім'ям</w:t>
            </w:r>
          </w:p>
        </w:tc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Закон України «Про державну соціальну допомогу малозабезпеченим сім’ям»</w:t>
            </w:r>
          </w:p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Закон України «Про державну соціальну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допомогу особам з інвалідністю з дитинства та дітям з інвалідністю»</w:t>
            </w: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00151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Державна соціальна допомога особам з інвалідністю з дитинства та дітям з інвалідністю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особам з інвалідністю з дитинства I групи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165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особам з інвалідністю з дитинства II групи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166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особам з інвалідністю з дитинства III групи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167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на дітей з інвалідністю віком до 18 років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168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Надбавка на догляд за особою з інвалідністю з дитинства підгрупи А I групи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Надбавка на догляд за особою з інвалідністю з дитинства підгрупи Б I групи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Надбавка на догляд за одинокими особами з інвалідністю з дитинства II і III груп, які за висновком лікарсько-консультативної комісії закладу охорони здоров'я потребують постійного стороннього догляду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Надбавка на догляд за дитиною з інвалідніст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 віком до 6 років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Надбавка на догляд за дитиною з інвалідністю віком від 6 до 18 років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00096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Державна соціальна допомога особам, які не мають права на пенсію, та особам з інвалідністю</w:t>
            </w:r>
          </w:p>
        </w:tc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Закон України «Про державну соц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іальну допомогу особам, які не мають права на пенсію, та особам з інвалідністю»</w:t>
            </w: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особам з інвалідністю I групи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особам з інвалідністю II групи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особам з інвалідністю III групи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жінкам, яким присвоєно звання України "Мати-героїня"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священнослужителям, церковнослужителям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особам, які досягли віку, що дає право на призначення допомоги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дитині померлого годувальника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на догляд одиноким малозабезпеченим особам, які за висновком лікарсько-консультативної комісії закладу охорони здоров'я потребують постійного стороннього догляду (кр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 осіб з інвалідністю I групи)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183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на догляд малозабезпеченим особам з інвалідністю підгрупи А I групи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184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на догляд малозабезпеченим особам з інвалідністю підгрупи Б  I групи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185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на догляд одиноким особам, які досягли 80-річного віку та за висновком лікарсько-консультативної комісії закладу охорони здоров'я потребують постійного стороннього догляду (крім осіб з інвалідністю внаслідок війни)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186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Компенсаційні виплати та допомога громадянам, які постраждали внаслідок Чорнобильської катастрофи</w:t>
            </w:r>
          </w:p>
        </w:tc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Закон України «Про статус і соціальний захист громадян, які постраждали внаслідок Чорнобильської катастрофи»</w:t>
            </w: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Одноразова компенсація учасникам ліквідації наслідків аварії на Чорнобильській АЕС, які стали особами з інвалідністю внаслідок Чорнобильської катастрофи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Одноразова компенсація дітям, які стали особами з інвалідністю внаслідок Чорнобильської катастрофи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Одноразова компенсація сім'ям, які втратили годувальника із числа осіб,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віднесених до учасників ліквідації наслідків аварії на Чорнобильській АЕС, смерть яких пов'язана з Чорнобильською катастрофою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190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Щорічна допомога на оздоровлення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191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Грошова компенсація замість путівки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192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Компенсація проїзду один раз на рік до будь-якого населеного пункту України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 назад автомобільним, або повітряним, або залізничним, або водним транспортом особам, віднесеним до категорій 1 та 2 постраждалих внаслідок Чорнобильської катастрофи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194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Компенсація 50 (25) відсотків вартості продуктів харчування за медичними (фізіологічними) нормами, встановленими Міністерством охорони здоров'я України, громадянам, віднесеним до категорій 1 та 2 постраждалих внаслідок Чорнобильської катастрофи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195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Щомісячна грошова компенсація на дітей, які не харчуються в закладах освіти, розташованих на територіях радіоактивного забруднення, та дітей, які є особами з інвалідністю внаслідок Чорнобильської катастрофи і не харчуються в закладах освіти, у тому 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 за дні, в які вони не відвідували ці заклади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196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Тимчасова державна допомога дітям, батьки яких ухиляються від сплати аліментів, не мають можливості утримувати дитину або місце проживання їх невідоме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Постанова КМУ від 22.02.2006 року №189 «Про затвердження Порядку призначення та виплати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невідоме»</w:t>
            </w: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197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ціальна допомога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Постанова КМУ від 26.06.2019 року №552 Деякі питання виплати державної соціальної допомоги на дітей-сиріт та дітей,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позбавлених батьківського піклування, осіб з їх числа, у тому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числі з інвалідністю,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“гроші ходят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ь за дитиною”, оплати послуг із здійснення патронату над дитиною та виплати соціальної допомоги на утримання дитини в сім’ї патронатного вихователя,підтримки малих групових будинків</w:t>
            </w: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198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Допомога на догляд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(щомісячна грошова допомога особі, яка проживає разом з особою з інвалідністю I чи II групи внаслідок психічного розладу, яка за висновком лікарської комісії медичного закладу потребує постійного стороннього догляду, на догляд за нею)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Закону України «Про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психіатричну допомогу», постанови КМУ від 02.08.2000 року №1192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Про надання щомісячної грошової допомоги особі, яка проживає разом з особою з інвалідністю I чи II групи внаслідок психічного розладу,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яка за висновком лікарської комісії  закладу охорони здоров’я потребує постійного стороннього догляду, на догляд за нею»</w:t>
            </w: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199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Грошова компенсація замість санаторно-курортної путівки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Законів України «</w:t>
            </w:r>
            <w:hyperlink r:id="rId11" w:tooltip="https://zakon.rada.gov.ua/laws/show/3551-12" w:history="1">
              <w:r>
                <w:rPr>
                  <w:rStyle w:val="af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uk-UA"/>
                </w:rPr>
                <w:t>Про статус ветеранів війни, гарантії їх соціального захисту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»</w:t>
            </w: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Компенсація вартості самостійного санаторно-курортного лікування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Одноразова винагорода жінці, якій присвоєно почесне звання України "Мати-героїня"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Указ Президента України «Про одноразову винагороду жінкам,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яким присвоєно почесне звання України "Мати-героїня"», Постанови КМУ від 08.02.2011 року №268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Про виплату одноразової винагороди жінкам, яким присвоєно почесне звання України "Мати-героїня", 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одноразової матеріальної допомоги особам, які постраждали від торгівлі людьми»</w:t>
            </w: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Одноразова матеріальна допомога особі, яка постраждала від торгів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лі людьми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Постанова КМУ від                25 липня 2012 року №660 «Про затвердження Порядку виплати одноразової матеріальної допомоги особам, які постраждали від торгівлі людьми»</w:t>
            </w: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00252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Допомога на поховання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Закон України «Про державну соц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іальну допомогу інвалідам з дитинства та дітям-інвалідам», Закон України «Про державну соціальну допомогу особам, які не мають права на пенсію, та особам з інвалідністю», Закон України «Про внесення змін до деяких законодавчих актів України щодо підвищення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пенсій»</w:t>
            </w: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Тимчасова державна соціальна допомога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Постанова КМУ від 27.12.2017 року №1098 «Про затвердження Порядку призначення тимчасової державної соціальної допомоги непрацюючій особі, яка досягла загального пенсійного віку, але не набула права на пенсійну виплату»</w:t>
            </w: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00960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Допомога на дітей, 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кі виховуються у багатодітних сім'ях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Постанова КМУ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від 13.03.2019 №250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Деякі питання надання соціальної підтримки багатодітним сім’ям»</w:t>
            </w: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01775</w:t>
            </w:r>
          </w:p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(01227)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Призначення грошової компенсації вартості одноразової натуральної допомоги «пакунок малюка»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Закон України «Про державну допомогу сім'ям з дітьми»</w:t>
            </w: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01195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Надання послуг «муніципальна няня»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Постанова КМУ від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 30 січня 2019 року №68 «Деякі питання надання послуги з догляду за дитиною до трьох років “муніципальна няня”»</w:t>
            </w: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208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Державна соціальна допомога на утримання дитини в сім’ї патронатного вихователя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Постанова КМУ від 20.08.2021 року №893 «Деякі питання захисту прав дитини та надання послуги патронату над дитиною»</w:t>
            </w: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 санаторно-курортним лікуванням (ЧАЕС)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Закон України «Про статус і соціальний захист громадян, які постраждали внаслідок Чорнобильської катастрофи»,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Постанови КМУ від 23.11.2016 року №854 «Деякі питання санаторно-курортного лікування та відпочинку громадян, які постраждали внаслідок Чорнобильської катастрофи»</w:t>
            </w: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Отримання комплексних реабілітаційних (абілітаційних) послуг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Постанови КМУ від 19.01.2022 року №31 «Про затвердження Порядку здійснення реабілітаційних заходів»</w:t>
            </w: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Направлення дитини з інвалідністю до реабілітаційної установи для отримання реабілітаційних послуг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Взяття на обл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ік внутрішньо переміщеної особи</w:t>
            </w:r>
          </w:p>
        </w:tc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Закону України «Про забезпечення прав і свобод внутрішньо переміщених осіб»,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Постанови КМУ від 01.10.2014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року №509 «Про облік внутрішньо переміщених осіб»,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Постанови КМУ від 20.03.2022 року № 332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Деякі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питання виплати допо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моги на проживання внутрішньо переміщеним особам»</w:t>
            </w: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Надання допомоги на проживання внутрішньо переміщеним особам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Надання соціальних послуг з догляду на непрофесійній основі</w:t>
            </w:r>
          </w:p>
        </w:tc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Постанова КМУ від 23.09.2020 року №859 «Деякі питання призначення і виплати компенсації фізичним особам, які надають соціальні послуги з догляду на непрофесійній основі»</w:t>
            </w: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Компенсація за надання соціальних послуг особам з інвалідністю І групи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Компенсація за надання соціальних послуг дітям з інвалідністю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217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Компенсація за надання соціальних послуг громадянам похилого віку з когнітивними порушеннями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Компенсація за надання соціальних послуг невиліковно хворим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Компенсація за надання соціальних послуг дітям, яким не встановлено інвалідність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Надання соціальних послуг з догляду на професійній основі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Постанова КМУ від 06.10.2021 року                №1040 «Деякі питання призначення і виплати компенсації фізичним особам, які надають соціальні послуги з догляду без здійснення підприємницької діяльності на професійній основі»</w:t>
            </w: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Призначення та надання житлової субсидії</w:t>
            </w:r>
          </w:p>
        </w:tc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Постанова КМУ від 21.10.1995 року №848 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ого палива»</w:t>
            </w: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Придбання твердого палива і скрапленого газу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00959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Оплату житлово-комунальних послуг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Надання пільг на оплату житлово-комунальних послуг, придбання твердого палива і скрапленого газу</w:t>
            </w:r>
          </w:p>
        </w:tc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Законів України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Про статус ветеранів війни, гарантії їх соціального захисту»,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Про жертви нацистських переслідувань»,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Про статус і соціальний захист громадян, які постраждали внаслідок Чорнобильської катастрофи», «Про статус ветеранів військової служби, ветеранів органів внутрішніх справ, ветеранів Національної поліції і деяких інших осіб та їх соціальний захист»,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ціональну поліцію», «Про освіту», «Про бібліотеки і бібліотечну справу»,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Про культуру»,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Про захист рослин», «Про охорону дитинства»,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Основи законодавства України про охорону здоров'я», «Гірничого закону України», Бюджетного кодексу України</w:t>
            </w: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00157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Придбання твердого палива і скрапленого газу</w:t>
            </w:r>
          </w:p>
          <w:p w:rsidR="00FC631B" w:rsidRDefault="00FC6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01974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Оплату житлово-комунальних послуг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227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02063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Видача посвідчень батьків багатодітної сім’ї та дитини з багатодітної сім’ї</w:t>
            </w:r>
          </w:p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Постанова КМУ від 02.03.2010 р. №209 «Деякі питання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виготовлення і видачі посвідчень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батьків багатодітної сім’ї та дитини з багатодітної сім’ї» зі змінами</w:t>
            </w: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01286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Встановлення статусу учасника бойових дій, видача посвідчення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https://zakon.rada.gov.ua/laws/show/3551-12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Закон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“Про статус ветеранів війни, гарантії їх соціального захисту”</w:t>
            </w: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01285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Позбавлення статусу учасника бойових дій за заявою такої особи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https://zakon.rada.gov.ua/laws/show/3551-12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Закон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“Про статус ветеранів війни, гарантії їх соціального захисту”</w:t>
            </w: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01877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Призначення одноразової грошової допомоги у разі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безпечення національної безпеки і оборони, відсічі і стримування збройної агресії Російської Федерації у Донецькій та Луганській областях, здійснення заходів, необхідних для забезпечення оборони України, захисту безпеки населення та інтересів держави у зв’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язку з військовою агресією Російської Федерації проти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України та/або іншої країни проти України, бойових дій та збройного конфлікту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" w:tooltip="https://zakon.rada.gov.ua/laws/show/3236-17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Закон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волонтерську діяльність”</w:t>
            </w: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231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01597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Видача нового посвідчення учасника бойових дій, особи з інвалідністю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наслідок війни, учасника війни, члена сім’ї загиблого (померлого) ветерана війни, члена сім’ї загиблого (померлого) Захисника чи Захисниці України, постраждалого учасника Революції Гідності замість непридатного/втраченого та у разі зміни персональних даних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https://zakon.rada.gov.ua/laws/show/3551-12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Закон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“Про статус ветеранів війни, гарантії їх соціального захисту”</w:t>
            </w: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00105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Призначення одноразової грошової допомоги членам сім’ї, батькам та утриманцям волонтера, загиблого (померлого) внаслідок поранення (контузії, травми або каліцтва), отриманого під час надання волонтерської допомоги в районі проведення антитерористичної опер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здійснення заходів, необхідних для забезпечення оборони України, захисту безпеки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ння та інтересів держави у зв’язку з військовою агресією Російської Федерації проти України та/або іншої країни проти України, бойових дій та збройного конфлікту</w:t>
            </w:r>
          </w:p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https://zakon.rada.gov.ua/laws/show/3236-17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Закон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“Про волонтерську діяльність”</w:t>
            </w: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Призначення одноразової грошової допомоги в разі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загибелі (смерті) або інвалідності деяк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категорій осіб відповідно до Закону України “Про статус ветеранів війни, гарантії їх соціального захисту”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https://zakon.rada.gov.ua/laws/show/3551-12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Закон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“Про статус ветеранів 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йни,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гарантії їх соціального захисту”</w:t>
            </w: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234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01284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Встановлення факту одержання ушкоджень здоров’я від вибухових речовин, боєприпасів і військового озброєння на території проведення антитерористичної операції, здійснення заходів із забезпечення націона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льної безпеки і оборони, відсічі і стримування збройної агресії Російської Федерації у Донецькій та Луганській областях та заходів, необхідних для забезпечення оборони України, захисту безпеки населення та інтересів держави у зв’язку з військовою агресією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Російської Федерації проти України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https://zakon.rada.gov.ua/laws/show/3551-12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Закон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“Про статус ветеранів війни, гарантії їх соціального захисту”</w:t>
            </w: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02266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Надання відомостей з Єдиного державного реєстру ветеранів війни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https://zakon.rada.gov.ua/laws/show/3551-12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Закон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“Про статус ветеранів війни, гарантії їх соціального захисту”; Закон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 “Про захист персональних даних”</w:t>
            </w: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Одноразова матеріальна допомога членам сімей померлих/загиблих військовослужбовців, які брали участь у відсічі військової агресії російської федерації проти України по факту загибелі/смерті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Програма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соц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іальної підтримки жителів Носівської територіальної громади на 2023-2025 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Щорічна матеріальна допомога членам сімей померлих/загиблих військовослужбовців, які брали участь у відсічі військової агресії російської федерації проти України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вирішення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соціально-побутових проблем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Програма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соціальної підтримки жителів Носівської територіальної громади на 2023-2025 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238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Матеріальна допомога на часткову компенсацію членам сімей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загиблих (померлих) Захисників та Захисниць України на виготовлення та встановлення надгробків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Програма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соціальної підтримки жителів Носівської територіальної громади на 2023-2025 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Матеріальна допомога членам сімей безвісти зниклих військовослужбовців, які брали участь у відсічі військової агресії російської федерації проти України для вирішення соціально-побутових проблем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Програма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соц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іальної підтримки жителів Носівської територіальної громади на 2023-2025 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Матеріальна допомога Захисникам та Захисницям, які повернулися з полону</w:t>
            </w:r>
          </w:p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Програма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соціальної підтримки жителів Носівської територіальної громади на 2023-2025 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241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послуг зубопротезування Захисникам та Захисницям із супроводжуючим лікуванням</w:t>
            </w:r>
          </w:p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31B" w:rsidRDefault="00FC63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Комплексна програма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соціальної підтримки Захисників та Захисниць України і членів їх сімей Носівської міської територіальної громади на 2023-2025 роки</w:t>
            </w: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FC6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Державна реєстрація актів цивільного стану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FC631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00030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народження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«України «Про державну реєстрацію актів цивільного стану»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Сімейний кодекс України</w:t>
            </w:r>
          </w:p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Цивільний кодекс України</w:t>
            </w: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243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00033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смерті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31B" w:rsidRDefault="00FC631B">
            <w:pPr>
              <w:spacing w:after="0" w:line="240" w:lineRule="auto"/>
              <w:jc w:val="center"/>
            </w:pPr>
          </w:p>
        </w:tc>
      </w:tr>
      <w:tr w:rsidR="00FC631B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00031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305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шлюбу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1B" w:rsidRDefault="00FC631B">
            <w:pPr>
              <w:spacing w:after="0" w:line="240" w:lineRule="auto"/>
              <w:jc w:val="center"/>
            </w:pPr>
          </w:p>
        </w:tc>
      </w:tr>
    </w:tbl>
    <w:p w:rsidR="00FC631B" w:rsidRDefault="00305D02">
      <w:pPr>
        <w:pStyle w:val="NoSpacing1"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C631B" w:rsidRDefault="00305D02">
      <w:pPr>
        <w:pStyle w:val="NoSpacing1"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Примітка:</w:t>
      </w:r>
    </w:p>
    <w:p w:rsidR="00FC631B" w:rsidRDefault="00305D02">
      <w:pPr>
        <w:pStyle w:val="NoSpacing1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* - послуги соціального характеру  надаються  через ЦНАП Носівської міської ради представниками відділу соціального захисту населення згідно графіку прийому.</w:t>
      </w:r>
    </w:p>
    <w:p w:rsidR="00FC631B" w:rsidRDefault="00305D02">
      <w:pPr>
        <w:pStyle w:val="NoSpacing1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** - послуги Пенсійного фонду надаються через ЦНАП Носівської міської ради представниками Пенсійного фонду згідно графіку прийому.</w:t>
      </w:r>
    </w:p>
    <w:p w:rsidR="00FC631B" w:rsidRDefault="00305D02">
      <w:pPr>
        <w:pStyle w:val="NoSpacing1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*** - паспортні послуги будуть надаватися при встановленні обладнання.</w:t>
      </w:r>
    </w:p>
    <w:p w:rsidR="00FC631B" w:rsidRDefault="00FC631B">
      <w:pPr>
        <w:pStyle w:val="NoSpacing1"/>
        <w:tabs>
          <w:tab w:val="left" w:pos="1134"/>
        </w:tabs>
        <w:rPr>
          <w:rFonts w:ascii="Times New Roman" w:hAnsi="Times New Roman"/>
          <w:sz w:val="28"/>
          <w:szCs w:val="28"/>
          <w:lang w:val="uk-UA"/>
        </w:rPr>
      </w:pPr>
    </w:p>
    <w:p w:rsidR="00FC631B" w:rsidRDefault="00305D02">
      <w:pPr>
        <w:pStyle w:val="NoSpacing1"/>
        <w:tabs>
          <w:tab w:val="left" w:pos="1134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Альона КРАТКО     </w:t>
      </w:r>
    </w:p>
    <w:sectPr w:rsidR="00FC63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D02" w:rsidRDefault="00305D02">
      <w:pPr>
        <w:spacing w:after="0" w:line="240" w:lineRule="auto"/>
      </w:pPr>
      <w:r>
        <w:separator/>
      </w:r>
    </w:p>
  </w:endnote>
  <w:endnote w:type="continuationSeparator" w:id="0">
    <w:p w:rsidR="00305D02" w:rsidRDefault="0030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D02" w:rsidRDefault="00305D02">
      <w:pPr>
        <w:spacing w:after="0" w:line="240" w:lineRule="auto"/>
      </w:pPr>
      <w:r>
        <w:separator/>
      </w:r>
    </w:p>
  </w:footnote>
  <w:footnote w:type="continuationSeparator" w:id="0">
    <w:p w:rsidR="00305D02" w:rsidRDefault="0030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20109"/>
    <w:multiLevelType w:val="hybridMultilevel"/>
    <w:tmpl w:val="B04E0FFC"/>
    <w:lvl w:ilvl="0" w:tplc="83DAB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4A0C80">
      <w:start w:val="1"/>
      <w:numFmt w:val="lowerLetter"/>
      <w:lvlText w:val="%2."/>
      <w:lvlJc w:val="left"/>
      <w:pPr>
        <w:ind w:left="1440" w:hanging="360"/>
      </w:pPr>
    </w:lvl>
    <w:lvl w:ilvl="2" w:tplc="05C0EF60">
      <w:start w:val="1"/>
      <w:numFmt w:val="lowerRoman"/>
      <w:lvlText w:val="%3."/>
      <w:lvlJc w:val="right"/>
      <w:pPr>
        <w:ind w:left="2160" w:hanging="180"/>
      </w:pPr>
    </w:lvl>
    <w:lvl w:ilvl="3" w:tplc="FFC6DA8C">
      <w:start w:val="1"/>
      <w:numFmt w:val="decimal"/>
      <w:lvlText w:val="%4."/>
      <w:lvlJc w:val="left"/>
      <w:pPr>
        <w:ind w:left="2880" w:hanging="360"/>
      </w:pPr>
    </w:lvl>
    <w:lvl w:ilvl="4" w:tplc="B194186C">
      <w:start w:val="1"/>
      <w:numFmt w:val="lowerLetter"/>
      <w:lvlText w:val="%5."/>
      <w:lvlJc w:val="left"/>
      <w:pPr>
        <w:ind w:left="3600" w:hanging="360"/>
      </w:pPr>
    </w:lvl>
    <w:lvl w:ilvl="5" w:tplc="37A0878C">
      <w:start w:val="1"/>
      <w:numFmt w:val="lowerRoman"/>
      <w:lvlText w:val="%6."/>
      <w:lvlJc w:val="right"/>
      <w:pPr>
        <w:ind w:left="4320" w:hanging="180"/>
      </w:pPr>
    </w:lvl>
    <w:lvl w:ilvl="6" w:tplc="AA2E2D1C">
      <w:start w:val="1"/>
      <w:numFmt w:val="decimal"/>
      <w:lvlText w:val="%7."/>
      <w:lvlJc w:val="left"/>
      <w:pPr>
        <w:ind w:left="5040" w:hanging="360"/>
      </w:pPr>
    </w:lvl>
    <w:lvl w:ilvl="7" w:tplc="14DCA7EC">
      <w:start w:val="1"/>
      <w:numFmt w:val="lowerLetter"/>
      <w:lvlText w:val="%8."/>
      <w:lvlJc w:val="left"/>
      <w:pPr>
        <w:ind w:left="5760" w:hanging="360"/>
      </w:pPr>
    </w:lvl>
    <w:lvl w:ilvl="8" w:tplc="A68256B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03D42"/>
    <w:multiLevelType w:val="hybridMultilevel"/>
    <w:tmpl w:val="9D7646DC"/>
    <w:lvl w:ilvl="0" w:tplc="BEAA09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E8BE689A">
      <w:start w:val="1"/>
      <w:numFmt w:val="lowerLetter"/>
      <w:lvlText w:val="%2."/>
      <w:lvlJc w:val="left"/>
      <w:pPr>
        <w:ind w:left="1785" w:hanging="360"/>
      </w:pPr>
    </w:lvl>
    <w:lvl w:ilvl="2" w:tplc="5A4C9AD0">
      <w:start w:val="1"/>
      <w:numFmt w:val="lowerRoman"/>
      <w:lvlText w:val="%3."/>
      <w:lvlJc w:val="right"/>
      <w:pPr>
        <w:ind w:left="2505" w:hanging="180"/>
      </w:pPr>
    </w:lvl>
    <w:lvl w:ilvl="3" w:tplc="933CEFAE">
      <w:start w:val="1"/>
      <w:numFmt w:val="decimal"/>
      <w:lvlText w:val="%4."/>
      <w:lvlJc w:val="left"/>
      <w:pPr>
        <w:ind w:left="3225" w:hanging="360"/>
      </w:pPr>
    </w:lvl>
    <w:lvl w:ilvl="4" w:tplc="6B76FA22">
      <w:start w:val="1"/>
      <w:numFmt w:val="lowerLetter"/>
      <w:lvlText w:val="%5."/>
      <w:lvlJc w:val="left"/>
      <w:pPr>
        <w:ind w:left="3945" w:hanging="360"/>
      </w:pPr>
    </w:lvl>
    <w:lvl w:ilvl="5" w:tplc="AD4E1544">
      <w:start w:val="1"/>
      <w:numFmt w:val="lowerRoman"/>
      <w:lvlText w:val="%6."/>
      <w:lvlJc w:val="right"/>
      <w:pPr>
        <w:ind w:left="4665" w:hanging="180"/>
      </w:pPr>
    </w:lvl>
    <w:lvl w:ilvl="6" w:tplc="21BEE542">
      <w:start w:val="1"/>
      <w:numFmt w:val="decimal"/>
      <w:lvlText w:val="%7."/>
      <w:lvlJc w:val="left"/>
      <w:pPr>
        <w:ind w:left="5385" w:hanging="360"/>
      </w:pPr>
    </w:lvl>
    <w:lvl w:ilvl="7" w:tplc="A3289F9E">
      <w:start w:val="1"/>
      <w:numFmt w:val="lowerLetter"/>
      <w:lvlText w:val="%8."/>
      <w:lvlJc w:val="left"/>
      <w:pPr>
        <w:ind w:left="6105" w:hanging="360"/>
      </w:pPr>
    </w:lvl>
    <w:lvl w:ilvl="8" w:tplc="1586060E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6D72C9"/>
    <w:multiLevelType w:val="hybridMultilevel"/>
    <w:tmpl w:val="8FDEB3DE"/>
    <w:lvl w:ilvl="0" w:tplc="02140F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07C1A68">
      <w:start w:val="1"/>
      <w:numFmt w:val="lowerLetter"/>
      <w:lvlText w:val="%2."/>
      <w:lvlJc w:val="left"/>
      <w:pPr>
        <w:ind w:left="1440" w:hanging="360"/>
      </w:pPr>
    </w:lvl>
    <w:lvl w:ilvl="2" w:tplc="532C12AC">
      <w:start w:val="1"/>
      <w:numFmt w:val="lowerRoman"/>
      <w:lvlText w:val="%3."/>
      <w:lvlJc w:val="right"/>
      <w:pPr>
        <w:ind w:left="2160" w:hanging="180"/>
      </w:pPr>
    </w:lvl>
    <w:lvl w:ilvl="3" w:tplc="BEF8C61A">
      <w:start w:val="1"/>
      <w:numFmt w:val="decimal"/>
      <w:lvlText w:val="%4."/>
      <w:lvlJc w:val="left"/>
      <w:pPr>
        <w:ind w:left="2880" w:hanging="360"/>
      </w:pPr>
    </w:lvl>
    <w:lvl w:ilvl="4" w:tplc="489E4EAA">
      <w:start w:val="1"/>
      <w:numFmt w:val="lowerLetter"/>
      <w:lvlText w:val="%5."/>
      <w:lvlJc w:val="left"/>
      <w:pPr>
        <w:ind w:left="3600" w:hanging="360"/>
      </w:pPr>
    </w:lvl>
    <w:lvl w:ilvl="5" w:tplc="40AEBBC8">
      <w:start w:val="1"/>
      <w:numFmt w:val="lowerRoman"/>
      <w:lvlText w:val="%6."/>
      <w:lvlJc w:val="right"/>
      <w:pPr>
        <w:ind w:left="4320" w:hanging="180"/>
      </w:pPr>
    </w:lvl>
    <w:lvl w:ilvl="6" w:tplc="5DB8CB08">
      <w:start w:val="1"/>
      <w:numFmt w:val="decimal"/>
      <w:lvlText w:val="%7."/>
      <w:lvlJc w:val="left"/>
      <w:pPr>
        <w:ind w:left="5040" w:hanging="360"/>
      </w:pPr>
    </w:lvl>
    <w:lvl w:ilvl="7" w:tplc="ACB893EE">
      <w:start w:val="1"/>
      <w:numFmt w:val="lowerLetter"/>
      <w:lvlText w:val="%8."/>
      <w:lvlJc w:val="left"/>
      <w:pPr>
        <w:ind w:left="5760" w:hanging="360"/>
      </w:pPr>
    </w:lvl>
    <w:lvl w:ilvl="8" w:tplc="A5D086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1B"/>
    <w:rsid w:val="002F3336"/>
    <w:rsid w:val="00305D02"/>
    <w:rsid w:val="00FC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customStyle="1" w:styleId="12">
    <w:name w:val="Абзац списка1"/>
    <w:basedOn w:val="a"/>
    <w:pPr>
      <w:spacing w:after="160" w:line="259" w:lineRule="auto"/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NoSpacing1">
    <w:name w:val="No Spacing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tj2">
    <w:name w:val="tj2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0"/>
      <w:szCs w:val="24"/>
      <w:lang w:val="uk-UA"/>
    </w:rPr>
  </w:style>
  <w:style w:type="paragraph" w:styleId="af7">
    <w:name w:val="Title"/>
    <w:basedOn w:val="a"/>
    <w:link w:val="af8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f8">
    <w:name w:val="Название Знак"/>
    <w:basedOn w:val="a0"/>
    <w:link w:val="af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p6">
    <w:name w:val="p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</w:style>
  <w:style w:type="paragraph" w:customStyle="1" w:styleId="p7">
    <w:name w:val="p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c">
    <w:name w:val="Body Text Indent"/>
    <w:basedOn w:val="a"/>
    <w:link w:val="af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e"/>
    <w:pPr>
      <w:widowControl w:val="0"/>
      <w:spacing w:after="2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">
    <w:name w:val="Другое_"/>
    <w:basedOn w:val="a0"/>
    <w:link w:val="aff0"/>
    <w:rPr>
      <w:rFonts w:ascii="Times New Roman" w:eastAsia="Times New Roman" w:hAnsi="Times New Roman" w:cs="Times New Roman"/>
      <w:sz w:val="28"/>
      <w:szCs w:val="28"/>
    </w:rPr>
  </w:style>
  <w:style w:type="paragraph" w:customStyle="1" w:styleId="aff0">
    <w:name w:val="Другое"/>
    <w:basedOn w:val="a"/>
    <w:link w:val="af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customStyle="1" w:styleId="12">
    <w:name w:val="Абзац списка1"/>
    <w:basedOn w:val="a"/>
    <w:pPr>
      <w:spacing w:after="160" w:line="259" w:lineRule="auto"/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NoSpacing1">
    <w:name w:val="No Spacing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tj2">
    <w:name w:val="tj2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0"/>
      <w:szCs w:val="24"/>
      <w:lang w:val="uk-UA"/>
    </w:rPr>
  </w:style>
  <w:style w:type="paragraph" w:styleId="af7">
    <w:name w:val="Title"/>
    <w:basedOn w:val="a"/>
    <w:link w:val="af8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f8">
    <w:name w:val="Название Знак"/>
    <w:basedOn w:val="a0"/>
    <w:link w:val="af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p6">
    <w:name w:val="p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</w:style>
  <w:style w:type="paragraph" w:customStyle="1" w:styleId="p7">
    <w:name w:val="p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c">
    <w:name w:val="Body Text Indent"/>
    <w:basedOn w:val="a"/>
    <w:link w:val="af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e"/>
    <w:pPr>
      <w:widowControl w:val="0"/>
      <w:spacing w:after="2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">
    <w:name w:val="Другое_"/>
    <w:basedOn w:val="a0"/>
    <w:link w:val="aff0"/>
    <w:rPr>
      <w:rFonts w:ascii="Times New Roman" w:eastAsia="Times New Roman" w:hAnsi="Times New Roman" w:cs="Times New Roman"/>
      <w:sz w:val="28"/>
      <w:szCs w:val="28"/>
    </w:rPr>
  </w:style>
  <w:style w:type="paragraph" w:customStyle="1" w:styleId="aff0">
    <w:name w:val="Другое"/>
    <w:basedOn w:val="a"/>
    <w:link w:val="af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akon.rada.gov.ua/laws/show/3551-12" TargetMode="External"/><Relationship Id="rId18" Type="http://schemas.openxmlformats.org/officeDocument/2006/relationships/hyperlink" Target="https://zakon.rada.gov.ua/laws/show/3551-12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zakon.rada.gov.ua/laws/show/3551-12" TargetMode="External"/><Relationship Id="rId17" Type="http://schemas.openxmlformats.org/officeDocument/2006/relationships/hyperlink" Target="https://zakon.rada.gov.ua/laws/show/3551-1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3236-1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zakon.rada.gov.ua/laws/show/3551-12" TargetMode="External"/><Relationship Id="rId5" Type="http://schemas.openxmlformats.org/officeDocument/2006/relationships/styles" Target="styles.xml"/><Relationship Id="rId15" Type="http://schemas.openxmlformats.org/officeDocument/2006/relationships/hyperlink" Target="https://zakon.rada.gov.ua/laws/show/3551-12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zakon.rada.gov.ua/laws/show/3551-12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zakon.rada.gov.ua/laws/show/3236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6F88-55C1-4B12-8E7A-A97A6EA72457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BFECC34C-DDC2-47FE-9CAF-28C47EBC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7215</Words>
  <Characters>41132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CNAP</cp:lastModifiedBy>
  <cp:revision>2</cp:revision>
  <dcterms:created xsi:type="dcterms:W3CDTF">2024-01-11T07:23:00Z</dcterms:created>
  <dcterms:modified xsi:type="dcterms:W3CDTF">2024-01-11T07:23:00Z</dcterms:modified>
</cp:coreProperties>
</file>